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C47E2" w14:textId="77777777" w:rsidR="006B2335" w:rsidRDefault="006B2335">
      <w:r>
        <w:t xml:space="preserve">Bernhard </w:t>
      </w:r>
      <w:r w:rsidR="00C30BAC">
        <w:t>Hauser/</w:t>
      </w:r>
      <w:r>
        <w:t xml:space="preserve">Winfried </w:t>
      </w:r>
      <w:r w:rsidR="00C30BAC">
        <w:t>Humpert</w:t>
      </w:r>
      <w:r>
        <w:t>:</w:t>
      </w:r>
      <w:r w:rsidR="00C30BAC">
        <w:t xml:space="preserve"> </w:t>
      </w:r>
    </w:p>
    <w:p w14:paraId="387E81D1" w14:textId="77777777" w:rsidR="004D13BA" w:rsidRDefault="00C30BAC">
      <w:r>
        <w:t>Signifikant?</w:t>
      </w:r>
      <w:r w:rsidR="006B2335">
        <w:t xml:space="preserve"> Einführung in statistische Methoden für Lehrkräfte</w:t>
      </w:r>
    </w:p>
    <w:p w14:paraId="68470B29" w14:textId="77777777" w:rsidR="0063574C" w:rsidRDefault="0063574C"/>
    <w:p w14:paraId="088414BE" w14:textId="49EF77AC" w:rsidR="00C30BAC" w:rsidRPr="0063574C" w:rsidRDefault="006B2335" w:rsidP="0063574C">
      <w:pPr>
        <w:tabs>
          <w:tab w:val="center" w:pos="4536"/>
        </w:tabs>
        <w:rPr>
          <w:b/>
          <w:sz w:val="24"/>
          <w:szCs w:val="24"/>
        </w:rPr>
      </w:pPr>
      <w:r>
        <w:rPr>
          <w:b/>
          <w:sz w:val="24"/>
          <w:szCs w:val="24"/>
        </w:rPr>
        <w:t>Korrekturen z</w:t>
      </w:r>
      <w:r w:rsidR="00C30BAC">
        <w:rPr>
          <w:b/>
          <w:sz w:val="24"/>
          <w:szCs w:val="24"/>
        </w:rPr>
        <w:t>ur beigefüg</w:t>
      </w:r>
      <w:r w:rsidR="0063574C">
        <w:rPr>
          <w:b/>
          <w:sz w:val="24"/>
          <w:szCs w:val="24"/>
        </w:rPr>
        <w:t>ten C</w:t>
      </w:r>
      <w:r>
        <w:rPr>
          <w:b/>
          <w:sz w:val="24"/>
          <w:szCs w:val="24"/>
        </w:rPr>
        <w:t>D-ROM</w:t>
      </w:r>
      <w:r w:rsidR="0063574C">
        <w:rPr>
          <w:b/>
          <w:sz w:val="24"/>
          <w:szCs w:val="24"/>
        </w:rPr>
        <w:t>:</w:t>
      </w:r>
    </w:p>
    <w:p w14:paraId="4E1C5F44" w14:textId="711AC224" w:rsidR="00C30BAC" w:rsidRPr="00C30BAC" w:rsidRDefault="00C30BAC" w:rsidP="00C30BAC">
      <w:pPr>
        <w:pStyle w:val="Listenabsatz"/>
        <w:numPr>
          <w:ilvl w:val="0"/>
          <w:numId w:val="1"/>
        </w:numPr>
        <w:rPr>
          <w:b/>
          <w:sz w:val="24"/>
          <w:szCs w:val="24"/>
        </w:rPr>
      </w:pPr>
      <w:r>
        <w:rPr>
          <w:b/>
          <w:sz w:val="24"/>
          <w:szCs w:val="24"/>
        </w:rPr>
        <w:t>Interaktive Beispielaufgaben zur CD</w:t>
      </w:r>
      <w:r w:rsidR="006B2335">
        <w:rPr>
          <w:b/>
          <w:sz w:val="24"/>
          <w:szCs w:val="24"/>
        </w:rPr>
        <w:t>-ROM</w:t>
      </w:r>
      <w:r>
        <w:rPr>
          <w:b/>
          <w:sz w:val="24"/>
          <w:szCs w:val="24"/>
        </w:rPr>
        <w:t xml:space="preserve"> </w:t>
      </w:r>
      <w:r w:rsidRPr="00C30BAC">
        <w:rPr>
          <w:sz w:val="24"/>
          <w:szCs w:val="24"/>
        </w:rPr>
        <w:t>(Lösungen auf der CD)</w:t>
      </w:r>
    </w:p>
    <w:p w14:paraId="317F8DEB" w14:textId="77777777" w:rsidR="00C30BAC" w:rsidRDefault="00C30BAC" w:rsidP="00C30BAC">
      <w:pPr>
        <w:pStyle w:val="Listenabsatz"/>
        <w:numPr>
          <w:ilvl w:val="0"/>
          <w:numId w:val="1"/>
        </w:numPr>
        <w:rPr>
          <w:b/>
          <w:sz w:val="24"/>
          <w:szCs w:val="24"/>
        </w:rPr>
      </w:pPr>
      <w:r>
        <w:rPr>
          <w:b/>
          <w:sz w:val="24"/>
          <w:szCs w:val="24"/>
        </w:rPr>
        <w:t>Korrekturen zur CD</w:t>
      </w:r>
      <w:r w:rsidR="006B2335">
        <w:rPr>
          <w:b/>
          <w:sz w:val="24"/>
          <w:szCs w:val="24"/>
        </w:rPr>
        <w:t>-ROM</w:t>
      </w:r>
    </w:p>
    <w:p w14:paraId="05743E86" w14:textId="77777777" w:rsidR="00C30BAC" w:rsidRDefault="00C30BAC" w:rsidP="00C30BAC">
      <w:pPr>
        <w:rPr>
          <w:b/>
          <w:sz w:val="24"/>
          <w:szCs w:val="24"/>
        </w:rPr>
      </w:pPr>
    </w:p>
    <w:p w14:paraId="578F5F76" w14:textId="77777777" w:rsidR="0063574C" w:rsidRPr="00C30BAC" w:rsidRDefault="0063574C" w:rsidP="00C30BAC">
      <w:pPr>
        <w:rPr>
          <w:b/>
          <w:sz w:val="24"/>
          <w:szCs w:val="24"/>
        </w:rPr>
      </w:pPr>
      <w:r>
        <w:rPr>
          <w:b/>
          <w:sz w:val="24"/>
          <w:szCs w:val="24"/>
        </w:rPr>
        <w:t>A. Beispielaufgaben</w:t>
      </w:r>
    </w:p>
    <w:p w14:paraId="324E2854" w14:textId="77777777" w:rsidR="00E73333" w:rsidRDefault="00E73333" w:rsidP="00E73333">
      <w:pPr>
        <w:ind w:left="550" w:hanging="550"/>
      </w:pPr>
      <w:r>
        <w:rPr>
          <w:b/>
        </w:rPr>
        <w:t>4.3.2</w:t>
      </w:r>
      <w:r>
        <w:t xml:space="preserve"> Der IQ ist in der Population normalverteilt mit Mittelwert 100 und Standardabweichung 15. </w:t>
      </w:r>
    </w:p>
    <w:p w14:paraId="7B6DFF05" w14:textId="77777777" w:rsidR="00E73333" w:rsidRDefault="00E73333" w:rsidP="00E73333">
      <w:pPr>
        <w:pStyle w:val="Textkrper-Zeileneinzug"/>
        <w:ind w:left="709" w:hanging="425"/>
        <w:rPr>
          <w:sz w:val="20"/>
        </w:rPr>
      </w:pPr>
      <w:r>
        <w:rPr>
          <w:sz w:val="20"/>
        </w:rPr>
        <w:t>a)</w:t>
      </w:r>
      <w:r>
        <w:rPr>
          <w:sz w:val="20"/>
        </w:rPr>
        <w:tab/>
        <w:t>Die IQ-Werte zwischen 85 und 115 werden im Allgemeinen als „normale Intelligenz“ bezeichnet. Welcher Anteil der Population hat diese „normale Intelligenz“?</w:t>
      </w:r>
    </w:p>
    <w:p w14:paraId="45DD6138" w14:textId="2A96D5C4" w:rsidR="00E73333" w:rsidRDefault="00E73333" w:rsidP="00E73333">
      <w:pPr>
        <w:pStyle w:val="Textkrper-Zeileneinzug"/>
        <w:ind w:left="709" w:hanging="425"/>
        <w:rPr>
          <w:sz w:val="20"/>
        </w:rPr>
      </w:pPr>
      <w:r>
        <w:rPr>
          <w:sz w:val="20"/>
        </w:rPr>
        <w:t>b)</w:t>
      </w:r>
      <w:r>
        <w:rPr>
          <w:sz w:val="20"/>
        </w:rPr>
        <w:tab/>
        <w:t>Unter 85 liegende IQ-Werte zeigen eine „schwache Intelligenz“ an. Wie gro</w:t>
      </w:r>
      <w:r w:rsidR="006B2335">
        <w:rPr>
          <w:sz w:val="20"/>
        </w:rPr>
        <w:t>ß</w:t>
      </w:r>
      <w:r>
        <w:rPr>
          <w:sz w:val="20"/>
        </w:rPr>
        <w:t xml:space="preserve"> ist der Anteil der Population, welcher einer „schwachen Intelligenz“ zugeordnet werden kann?</w:t>
      </w:r>
    </w:p>
    <w:p w14:paraId="58E78BAA" w14:textId="77777777" w:rsidR="00E73333" w:rsidRDefault="00E73333" w:rsidP="00E73333">
      <w:pPr>
        <w:pStyle w:val="Textkrper-Zeileneinzug"/>
        <w:ind w:left="709" w:hanging="425"/>
        <w:rPr>
          <w:sz w:val="20"/>
        </w:rPr>
      </w:pPr>
      <w:r>
        <w:rPr>
          <w:sz w:val="20"/>
        </w:rPr>
        <w:t>c)</w:t>
      </w:r>
      <w:r>
        <w:rPr>
          <w:sz w:val="20"/>
        </w:rPr>
        <w:tab/>
        <w:t>Abweichungen von mehr als 2 Standardabweichungen vom Mittelwert zeigen extrem hohe bzw. extrem niedrige Begabung an. Wie viel Prozent der Bevölkerung gehören zu den Extremgruppen?</w:t>
      </w:r>
    </w:p>
    <w:p w14:paraId="45E5EF4B" w14:textId="77777777" w:rsidR="006B2335" w:rsidRPr="00F67ECB" w:rsidRDefault="006B2335" w:rsidP="00E73333">
      <w:pPr>
        <w:rPr>
          <w:b/>
          <w:sz w:val="16"/>
          <w:szCs w:val="16"/>
        </w:rPr>
      </w:pPr>
    </w:p>
    <w:p w14:paraId="2119F7B9" w14:textId="77777777" w:rsidR="00E73333" w:rsidRDefault="00E73333" w:rsidP="00E73333">
      <w:r>
        <w:rPr>
          <w:b/>
        </w:rPr>
        <w:t xml:space="preserve">4.3.3 </w:t>
      </w:r>
      <w:r>
        <w:t>Lisa hat einen IQ-Wert von 110, gemessen auf einer Skala die normalverteilt ist mit Mittelwert 100 und Varianz 100. Rolf hat einen IQ-Wert von 115, gemessen auf einer Skala die normalverteilt ist mit Mittelwert 100 und Varianz 225. Wer ist „intelligenter“? Begründung Sie Ihre Antwort!</w:t>
      </w:r>
    </w:p>
    <w:p w14:paraId="7C414820" w14:textId="77938F40" w:rsidR="00E73333" w:rsidRDefault="00E73333" w:rsidP="00E73333">
      <w:r>
        <w:rPr>
          <w:b/>
        </w:rPr>
        <w:t xml:space="preserve">4.3.4 </w:t>
      </w:r>
      <w:r>
        <w:t>In der PISA-Untersuchung von 2000 haben die schweizerischen Jugendlichen 494 Punkte im Lesen und 529 Punkte in Mathematik erhalten. Der Mittelwert in der Population beträgt für beide Subskalen 500 Punkte, Standardabweichung 100 Punkte, die Skalen s</w:t>
      </w:r>
      <w:r w:rsidR="006B2335">
        <w:t>ind</w:t>
      </w:r>
      <w:r>
        <w:t xml:space="preserve"> normalverteilt. </w:t>
      </w:r>
    </w:p>
    <w:p w14:paraId="6F78DE3F" w14:textId="77777777" w:rsidR="00E73333" w:rsidRDefault="00E73333" w:rsidP="00E73333">
      <w:r>
        <w:t>Wie viel Prozent der Schweizer sind in Mathe besser als der Populationsmittelwert?</w:t>
      </w:r>
    </w:p>
    <w:p w14:paraId="0AF30303" w14:textId="77777777" w:rsidR="00E73333" w:rsidRDefault="00E73333" w:rsidP="00E73333"/>
    <w:p w14:paraId="27C741C3" w14:textId="77777777" w:rsidR="00E73333" w:rsidRPr="0063574C" w:rsidRDefault="00E73333" w:rsidP="006B2335">
      <w:pPr>
        <w:pStyle w:val="berschriftLE"/>
      </w:pPr>
      <w:bookmarkStart w:id="0" w:name="_Toc116713958"/>
      <w:bookmarkStart w:id="1" w:name="_Toc117399413"/>
      <w:bookmarkStart w:id="2" w:name="_Toc117399414"/>
      <w:bookmarkStart w:id="3" w:name="_Toc116713959"/>
      <w:bookmarkEnd w:id="0"/>
      <w:bookmarkEnd w:id="1"/>
      <w:r w:rsidRPr="0063574C">
        <w:t>5.1: Wissensfragen</w:t>
      </w:r>
      <w:bookmarkEnd w:id="2"/>
      <w:bookmarkEnd w:id="3"/>
      <w:r w:rsidRPr="0063574C">
        <w:t>: Kreuzen Sie die richtige(n) Antwort(en) 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
        <w:gridCol w:w="6"/>
        <w:gridCol w:w="8625"/>
        <w:gridCol w:w="410"/>
        <w:gridCol w:w="15"/>
      </w:tblGrid>
      <w:tr w:rsidR="00E73333" w14:paraId="0D4E1A9A" w14:textId="77777777" w:rsidTr="00F67ECB">
        <w:trPr>
          <w:gridAfter w:val="1"/>
          <w:wAfter w:w="15" w:type="dxa"/>
          <w:jc w:val="center"/>
        </w:trPr>
        <w:tc>
          <w:tcPr>
            <w:tcW w:w="9047" w:type="dxa"/>
            <w:gridSpan w:val="4"/>
            <w:tcBorders>
              <w:top w:val="single" w:sz="4" w:space="0" w:color="auto"/>
              <w:left w:val="single" w:sz="4" w:space="0" w:color="auto"/>
              <w:bottom w:val="single" w:sz="4" w:space="0" w:color="auto"/>
              <w:right w:val="single" w:sz="4" w:space="0" w:color="auto"/>
            </w:tcBorders>
          </w:tcPr>
          <w:p w14:paraId="2232AE1C" w14:textId="77777777" w:rsidR="00E73333" w:rsidRDefault="00E73333">
            <w:pPr>
              <w:rPr>
                <w:b/>
                <w:i/>
              </w:rPr>
            </w:pPr>
          </w:p>
        </w:tc>
      </w:tr>
      <w:tr w:rsidR="00E73333" w14:paraId="01F31302" w14:textId="77777777" w:rsidTr="00F67ECB">
        <w:trPr>
          <w:gridBefore w:val="1"/>
          <w:wBefore w:w="6" w:type="dxa"/>
          <w:jc w:val="center"/>
        </w:trPr>
        <w:tc>
          <w:tcPr>
            <w:tcW w:w="8631" w:type="dxa"/>
            <w:gridSpan w:val="2"/>
            <w:tcBorders>
              <w:top w:val="single" w:sz="4" w:space="0" w:color="auto"/>
              <w:left w:val="single" w:sz="4" w:space="0" w:color="auto"/>
              <w:bottom w:val="single" w:sz="4" w:space="0" w:color="auto"/>
              <w:right w:val="single" w:sz="4" w:space="0" w:color="auto"/>
            </w:tcBorders>
            <w:hideMark/>
          </w:tcPr>
          <w:p w14:paraId="085F42CA" w14:textId="77777777" w:rsidR="00E73333" w:rsidRDefault="00E73333">
            <w:pPr>
              <w:ind w:left="284" w:hanging="284"/>
            </w:pPr>
            <w:r>
              <w:t>1</w:t>
            </w:r>
            <w:r>
              <w:tab/>
              <w:t>Inferenz meint u.a. die Übertragung (Generalisierung) von Ergebnissen aus einer Stichprobe auf die Population.</w:t>
            </w:r>
          </w:p>
        </w:tc>
        <w:tc>
          <w:tcPr>
            <w:tcW w:w="425" w:type="dxa"/>
            <w:gridSpan w:val="2"/>
            <w:tcBorders>
              <w:top w:val="single" w:sz="4" w:space="0" w:color="auto"/>
              <w:left w:val="single" w:sz="4" w:space="0" w:color="auto"/>
              <w:bottom w:val="single" w:sz="4" w:space="0" w:color="auto"/>
              <w:right w:val="single" w:sz="4" w:space="0" w:color="auto"/>
            </w:tcBorders>
          </w:tcPr>
          <w:p w14:paraId="499205BD" w14:textId="77777777" w:rsidR="00E73333" w:rsidRDefault="00E73333"/>
        </w:tc>
      </w:tr>
      <w:tr w:rsidR="00E73333" w14:paraId="5906304C" w14:textId="77777777" w:rsidTr="00F67ECB">
        <w:trPr>
          <w:gridBefore w:val="1"/>
          <w:wBefore w:w="6" w:type="dxa"/>
          <w:jc w:val="center"/>
        </w:trPr>
        <w:tc>
          <w:tcPr>
            <w:tcW w:w="8631" w:type="dxa"/>
            <w:gridSpan w:val="2"/>
            <w:tcBorders>
              <w:top w:val="single" w:sz="4" w:space="0" w:color="auto"/>
              <w:left w:val="single" w:sz="4" w:space="0" w:color="auto"/>
              <w:bottom w:val="single" w:sz="4" w:space="0" w:color="auto"/>
              <w:right w:val="single" w:sz="4" w:space="0" w:color="auto"/>
            </w:tcBorders>
            <w:hideMark/>
          </w:tcPr>
          <w:p w14:paraId="652CE40E" w14:textId="77777777" w:rsidR="00E73333" w:rsidRDefault="00E73333">
            <w:pPr>
              <w:ind w:left="284" w:hanging="284"/>
            </w:pPr>
            <w:r>
              <w:t>2</w:t>
            </w:r>
            <w:r>
              <w:tab/>
              <w:t>Inferenz arbeitet mit dem Abschätzen des Konfidenzgrades (des Vertrauens), mit welchem wir sagen können, dass z.B. ein Zusammenhang besteht zwischen Stichprobe und Population.</w:t>
            </w:r>
          </w:p>
        </w:tc>
        <w:tc>
          <w:tcPr>
            <w:tcW w:w="425" w:type="dxa"/>
            <w:gridSpan w:val="2"/>
            <w:tcBorders>
              <w:top w:val="single" w:sz="4" w:space="0" w:color="auto"/>
              <w:left w:val="single" w:sz="4" w:space="0" w:color="auto"/>
              <w:bottom w:val="single" w:sz="4" w:space="0" w:color="auto"/>
              <w:right w:val="single" w:sz="4" w:space="0" w:color="auto"/>
            </w:tcBorders>
          </w:tcPr>
          <w:p w14:paraId="0635CD00" w14:textId="77777777" w:rsidR="00E73333" w:rsidRDefault="00E73333"/>
        </w:tc>
      </w:tr>
      <w:tr w:rsidR="00E73333" w14:paraId="6ECD6452" w14:textId="77777777" w:rsidTr="00F67ECB">
        <w:trPr>
          <w:gridBefore w:val="1"/>
          <w:wBefore w:w="6" w:type="dxa"/>
          <w:jc w:val="center"/>
        </w:trPr>
        <w:tc>
          <w:tcPr>
            <w:tcW w:w="8631" w:type="dxa"/>
            <w:gridSpan w:val="2"/>
            <w:tcBorders>
              <w:top w:val="single" w:sz="4" w:space="0" w:color="auto"/>
              <w:left w:val="single" w:sz="4" w:space="0" w:color="auto"/>
              <w:bottom w:val="single" w:sz="4" w:space="0" w:color="auto"/>
              <w:right w:val="single" w:sz="4" w:space="0" w:color="auto"/>
            </w:tcBorders>
            <w:hideMark/>
          </w:tcPr>
          <w:p w14:paraId="5D77AF65" w14:textId="72EB7C4A" w:rsidR="00E73333" w:rsidRDefault="00E73333" w:rsidP="006B2335">
            <w:pPr>
              <w:ind w:left="284" w:hanging="284"/>
            </w:pPr>
            <w:r>
              <w:t>3</w:t>
            </w:r>
            <w:r>
              <w:tab/>
              <w:t>Schlie</w:t>
            </w:r>
            <w:r w:rsidR="006B2335">
              <w:t>ß</w:t>
            </w:r>
            <w:r>
              <w:t>ende Statistik ist nur möglich auf der Grundlage von Verfahren der Wahrscheinlichkeitsrech</w:t>
            </w:r>
            <w:r w:rsidR="006B2335">
              <w:t>n</w:t>
            </w:r>
            <w:r>
              <w:t>ung.</w:t>
            </w:r>
          </w:p>
        </w:tc>
        <w:tc>
          <w:tcPr>
            <w:tcW w:w="425" w:type="dxa"/>
            <w:gridSpan w:val="2"/>
            <w:tcBorders>
              <w:top w:val="single" w:sz="4" w:space="0" w:color="auto"/>
              <w:left w:val="single" w:sz="4" w:space="0" w:color="auto"/>
              <w:bottom w:val="single" w:sz="4" w:space="0" w:color="auto"/>
              <w:right w:val="single" w:sz="4" w:space="0" w:color="auto"/>
            </w:tcBorders>
          </w:tcPr>
          <w:p w14:paraId="5390A316" w14:textId="77777777" w:rsidR="00E73333" w:rsidRDefault="00E73333"/>
        </w:tc>
      </w:tr>
      <w:tr w:rsidR="00E73333" w14:paraId="3A1A87C7" w14:textId="77777777" w:rsidTr="00F67ECB">
        <w:trPr>
          <w:gridBefore w:val="1"/>
          <w:wBefore w:w="6" w:type="dxa"/>
          <w:jc w:val="center"/>
        </w:trPr>
        <w:tc>
          <w:tcPr>
            <w:tcW w:w="8631" w:type="dxa"/>
            <w:gridSpan w:val="2"/>
            <w:tcBorders>
              <w:top w:val="single" w:sz="4" w:space="0" w:color="auto"/>
              <w:left w:val="single" w:sz="4" w:space="0" w:color="auto"/>
              <w:bottom w:val="single" w:sz="4" w:space="0" w:color="auto"/>
              <w:right w:val="single" w:sz="4" w:space="0" w:color="auto"/>
            </w:tcBorders>
            <w:hideMark/>
          </w:tcPr>
          <w:p w14:paraId="588E9C1E" w14:textId="4F0C0E68" w:rsidR="00E73333" w:rsidRDefault="00E73333" w:rsidP="006B2335">
            <w:pPr>
              <w:ind w:left="284" w:hanging="284"/>
            </w:pPr>
            <w:r>
              <w:t>4</w:t>
            </w:r>
            <w:r>
              <w:tab/>
              <w:t>Gesetz der grossen Zahl: Grö</w:t>
            </w:r>
            <w:r w:rsidR="006B2335">
              <w:t>ß</w:t>
            </w:r>
            <w:r>
              <w:t>ere Mittelwerte sind in der Regel näher an den wahren Mittelwerten (einer Population)</w:t>
            </w:r>
            <w:r w:rsidR="006B2335">
              <w:t>.</w:t>
            </w:r>
          </w:p>
        </w:tc>
        <w:tc>
          <w:tcPr>
            <w:tcW w:w="425" w:type="dxa"/>
            <w:gridSpan w:val="2"/>
            <w:tcBorders>
              <w:top w:val="single" w:sz="4" w:space="0" w:color="auto"/>
              <w:left w:val="single" w:sz="4" w:space="0" w:color="auto"/>
              <w:bottom w:val="single" w:sz="4" w:space="0" w:color="auto"/>
              <w:right w:val="single" w:sz="4" w:space="0" w:color="auto"/>
            </w:tcBorders>
          </w:tcPr>
          <w:p w14:paraId="72080E53" w14:textId="77777777" w:rsidR="00E73333" w:rsidRDefault="00E73333"/>
        </w:tc>
      </w:tr>
      <w:tr w:rsidR="00E73333" w14:paraId="4DE0BB03" w14:textId="77777777" w:rsidTr="00F67ECB">
        <w:trPr>
          <w:gridBefore w:val="1"/>
          <w:wBefore w:w="6" w:type="dxa"/>
          <w:jc w:val="center"/>
        </w:trPr>
        <w:tc>
          <w:tcPr>
            <w:tcW w:w="8631" w:type="dxa"/>
            <w:gridSpan w:val="2"/>
            <w:tcBorders>
              <w:top w:val="single" w:sz="4" w:space="0" w:color="auto"/>
              <w:left w:val="single" w:sz="4" w:space="0" w:color="auto"/>
              <w:bottom w:val="single" w:sz="4" w:space="0" w:color="auto"/>
              <w:right w:val="single" w:sz="4" w:space="0" w:color="auto"/>
            </w:tcBorders>
            <w:hideMark/>
          </w:tcPr>
          <w:p w14:paraId="26D7C06D" w14:textId="77777777" w:rsidR="00E73333" w:rsidRDefault="00E73333">
            <w:pPr>
              <w:ind w:left="284" w:hanging="284"/>
            </w:pPr>
            <w:r>
              <w:t>5</w:t>
            </w:r>
            <w:r>
              <w:tab/>
              <w:t>Mangelnde Repräsentativität besteht in der Regel in einer Stichprobenverzerrung</w:t>
            </w:r>
            <w:r w:rsidR="006B2335">
              <w:t>.</w:t>
            </w:r>
          </w:p>
        </w:tc>
        <w:tc>
          <w:tcPr>
            <w:tcW w:w="425" w:type="dxa"/>
            <w:gridSpan w:val="2"/>
            <w:tcBorders>
              <w:top w:val="single" w:sz="4" w:space="0" w:color="auto"/>
              <w:left w:val="single" w:sz="4" w:space="0" w:color="auto"/>
              <w:bottom w:val="single" w:sz="4" w:space="0" w:color="auto"/>
              <w:right w:val="single" w:sz="4" w:space="0" w:color="auto"/>
            </w:tcBorders>
          </w:tcPr>
          <w:p w14:paraId="3DFDD4FD" w14:textId="77777777" w:rsidR="00E73333" w:rsidRDefault="00E73333"/>
        </w:tc>
      </w:tr>
      <w:tr w:rsidR="00E73333" w14:paraId="5097C385" w14:textId="77777777" w:rsidTr="00F67ECB">
        <w:trPr>
          <w:gridBefore w:val="1"/>
          <w:wBefore w:w="6" w:type="dxa"/>
          <w:jc w:val="center"/>
        </w:trPr>
        <w:tc>
          <w:tcPr>
            <w:tcW w:w="8631" w:type="dxa"/>
            <w:gridSpan w:val="2"/>
            <w:tcBorders>
              <w:top w:val="single" w:sz="4" w:space="0" w:color="auto"/>
              <w:left w:val="single" w:sz="4" w:space="0" w:color="auto"/>
              <w:bottom w:val="single" w:sz="4" w:space="0" w:color="auto"/>
              <w:right w:val="single" w:sz="4" w:space="0" w:color="auto"/>
            </w:tcBorders>
            <w:hideMark/>
          </w:tcPr>
          <w:p w14:paraId="16669DDF" w14:textId="13C60D33" w:rsidR="00E73333" w:rsidRDefault="00476579">
            <w:pPr>
              <w:ind w:left="284" w:hanging="284"/>
              <w:rPr>
                <w:b/>
                <w:i/>
              </w:rPr>
            </w:pPr>
            <w:bookmarkStart w:id="4" w:name="_GoBack"/>
            <w:bookmarkEnd w:id="4"/>
            <w:r>
              <w:t>6</w:t>
            </w:r>
            <w:r w:rsidR="00E73333">
              <w:tab/>
              <w:t>Je kleiner die Stichprobe, desto genauer die Ergebnisse und deshalb desto geringer ist der Stichprobefehler</w:t>
            </w:r>
            <w:r w:rsidR="006B2335">
              <w:t>.</w:t>
            </w:r>
          </w:p>
        </w:tc>
        <w:tc>
          <w:tcPr>
            <w:tcW w:w="425" w:type="dxa"/>
            <w:gridSpan w:val="2"/>
            <w:tcBorders>
              <w:top w:val="single" w:sz="4" w:space="0" w:color="auto"/>
              <w:left w:val="single" w:sz="4" w:space="0" w:color="auto"/>
              <w:bottom w:val="single" w:sz="4" w:space="0" w:color="auto"/>
              <w:right w:val="single" w:sz="4" w:space="0" w:color="auto"/>
            </w:tcBorders>
          </w:tcPr>
          <w:p w14:paraId="79C33366" w14:textId="77777777" w:rsidR="00E73333" w:rsidRDefault="00E73333"/>
        </w:tc>
      </w:tr>
      <w:tr w:rsidR="00E73333" w14:paraId="7FD7044E" w14:textId="77777777" w:rsidTr="00F67ECB">
        <w:trPr>
          <w:gridBefore w:val="1"/>
          <w:wBefore w:w="6" w:type="dxa"/>
          <w:jc w:val="center"/>
        </w:trPr>
        <w:tc>
          <w:tcPr>
            <w:tcW w:w="8631" w:type="dxa"/>
            <w:gridSpan w:val="2"/>
            <w:tcBorders>
              <w:top w:val="single" w:sz="4" w:space="0" w:color="auto"/>
              <w:left w:val="single" w:sz="4" w:space="0" w:color="auto"/>
              <w:bottom w:val="single" w:sz="4" w:space="0" w:color="auto"/>
              <w:right w:val="single" w:sz="4" w:space="0" w:color="auto"/>
            </w:tcBorders>
            <w:hideMark/>
          </w:tcPr>
          <w:p w14:paraId="69349BB5" w14:textId="2FF50CF5" w:rsidR="00E73333" w:rsidRDefault="004D57D9">
            <w:pPr>
              <w:ind w:left="284" w:hanging="284"/>
            </w:pPr>
            <w:r>
              <w:t>7</w:t>
            </w:r>
            <w:r w:rsidR="00E73333">
              <w:tab/>
              <w:t>Statistische Tests überprüfen, ob ein Zusammenhang oder Unterschied zwischen Variablen aufgrund von Zufalls- oder Stichprobenfehlern zustande gekommen sein könnte.</w:t>
            </w:r>
          </w:p>
        </w:tc>
        <w:tc>
          <w:tcPr>
            <w:tcW w:w="425" w:type="dxa"/>
            <w:gridSpan w:val="2"/>
            <w:tcBorders>
              <w:top w:val="single" w:sz="4" w:space="0" w:color="auto"/>
              <w:left w:val="single" w:sz="4" w:space="0" w:color="auto"/>
              <w:bottom w:val="single" w:sz="4" w:space="0" w:color="auto"/>
              <w:right w:val="single" w:sz="4" w:space="0" w:color="auto"/>
            </w:tcBorders>
          </w:tcPr>
          <w:p w14:paraId="22465927" w14:textId="77777777" w:rsidR="00E73333" w:rsidRDefault="00E73333"/>
        </w:tc>
      </w:tr>
      <w:tr w:rsidR="00E73333" w14:paraId="3ACA6728" w14:textId="77777777" w:rsidTr="00F67ECB">
        <w:trPr>
          <w:gridBefore w:val="1"/>
          <w:wBefore w:w="6" w:type="dxa"/>
          <w:jc w:val="center"/>
        </w:trPr>
        <w:tc>
          <w:tcPr>
            <w:tcW w:w="8631" w:type="dxa"/>
            <w:gridSpan w:val="2"/>
            <w:tcBorders>
              <w:top w:val="single" w:sz="4" w:space="0" w:color="auto"/>
              <w:left w:val="single" w:sz="4" w:space="0" w:color="auto"/>
              <w:bottom w:val="single" w:sz="4" w:space="0" w:color="auto"/>
              <w:right w:val="single" w:sz="4" w:space="0" w:color="auto"/>
            </w:tcBorders>
            <w:hideMark/>
          </w:tcPr>
          <w:p w14:paraId="76CD2E0D" w14:textId="66FEEC04" w:rsidR="00E73333" w:rsidRDefault="004D57D9">
            <w:pPr>
              <w:ind w:left="284" w:hanging="284"/>
            </w:pPr>
            <w:r>
              <w:lastRenderedPageBreak/>
              <w:t>8</w:t>
            </w:r>
            <w:r w:rsidR="00E73333">
              <w:tab/>
              <w:t>Der Unterschied zwischen einseitiger und zweiseitiger Forschungshypothese besteht darin, dass die zweite inhaltlich genauer formuliert ist.</w:t>
            </w:r>
          </w:p>
        </w:tc>
        <w:tc>
          <w:tcPr>
            <w:tcW w:w="425" w:type="dxa"/>
            <w:gridSpan w:val="2"/>
            <w:tcBorders>
              <w:top w:val="single" w:sz="4" w:space="0" w:color="auto"/>
              <w:left w:val="single" w:sz="4" w:space="0" w:color="auto"/>
              <w:bottom w:val="single" w:sz="4" w:space="0" w:color="auto"/>
              <w:right w:val="single" w:sz="4" w:space="0" w:color="auto"/>
            </w:tcBorders>
          </w:tcPr>
          <w:p w14:paraId="386CA388" w14:textId="77777777" w:rsidR="00E73333" w:rsidRDefault="00E73333"/>
        </w:tc>
      </w:tr>
      <w:tr w:rsidR="00E73333" w14:paraId="0DF68187" w14:textId="77777777" w:rsidTr="00F67ECB">
        <w:trPr>
          <w:gridBefore w:val="1"/>
          <w:wBefore w:w="6" w:type="dxa"/>
          <w:jc w:val="center"/>
        </w:trPr>
        <w:tc>
          <w:tcPr>
            <w:tcW w:w="8631" w:type="dxa"/>
            <w:gridSpan w:val="2"/>
            <w:tcBorders>
              <w:top w:val="single" w:sz="4" w:space="0" w:color="auto"/>
              <w:left w:val="single" w:sz="4" w:space="0" w:color="auto"/>
              <w:bottom w:val="single" w:sz="4" w:space="0" w:color="auto"/>
              <w:right w:val="single" w:sz="4" w:space="0" w:color="auto"/>
            </w:tcBorders>
            <w:hideMark/>
          </w:tcPr>
          <w:p w14:paraId="01E43FB4" w14:textId="5CB14D90" w:rsidR="00E73333" w:rsidRDefault="004D57D9">
            <w:pPr>
              <w:ind w:left="284" w:hanging="284"/>
            </w:pPr>
            <w:r>
              <w:t>9</w:t>
            </w:r>
            <w:r w:rsidR="00E73333">
              <w:tab/>
              <w:t>Die Irrtumswahrscheinlichkeit von 5% basiert auf dem Konzept „95 von 100“, welches besagt, dass in 95 von 100 gezogenen (zufälligen) Stichproben die (Mittel-)Werte nur zufällig vom „wahren“ Mittelwert der Population abweichen.</w:t>
            </w:r>
          </w:p>
        </w:tc>
        <w:tc>
          <w:tcPr>
            <w:tcW w:w="425" w:type="dxa"/>
            <w:gridSpan w:val="2"/>
            <w:tcBorders>
              <w:top w:val="single" w:sz="4" w:space="0" w:color="auto"/>
              <w:left w:val="single" w:sz="4" w:space="0" w:color="auto"/>
              <w:bottom w:val="single" w:sz="4" w:space="0" w:color="auto"/>
              <w:right w:val="single" w:sz="4" w:space="0" w:color="auto"/>
            </w:tcBorders>
          </w:tcPr>
          <w:p w14:paraId="2C6C8B86" w14:textId="77777777" w:rsidR="00E73333" w:rsidRDefault="00E73333"/>
          <w:p w14:paraId="5B3150D2" w14:textId="77777777" w:rsidR="00E73333" w:rsidRDefault="00E73333"/>
        </w:tc>
      </w:tr>
      <w:tr w:rsidR="00E73333" w14:paraId="6BC13334" w14:textId="77777777" w:rsidTr="00F67ECB">
        <w:trPr>
          <w:gridBefore w:val="1"/>
          <w:wBefore w:w="6" w:type="dxa"/>
          <w:jc w:val="center"/>
        </w:trPr>
        <w:tc>
          <w:tcPr>
            <w:tcW w:w="8631" w:type="dxa"/>
            <w:gridSpan w:val="2"/>
            <w:tcBorders>
              <w:top w:val="single" w:sz="4" w:space="0" w:color="auto"/>
              <w:left w:val="single" w:sz="4" w:space="0" w:color="auto"/>
              <w:bottom w:val="single" w:sz="4" w:space="0" w:color="auto"/>
              <w:right w:val="single" w:sz="4" w:space="0" w:color="auto"/>
            </w:tcBorders>
            <w:hideMark/>
          </w:tcPr>
          <w:p w14:paraId="44D3C779" w14:textId="18F96DAC" w:rsidR="00E73333" w:rsidRDefault="004D57D9">
            <w:pPr>
              <w:ind w:left="284" w:hanging="284"/>
            </w:pPr>
            <w:r>
              <w:t>10</w:t>
            </w:r>
            <w:r w:rsidR="00E73333">
              <w:tab/>
              <w:t>Der p-Wert gibt die Wahrscheinlichkeit an, mit welcher die Forschungs- oder Alternativhypothese verworfen werden kann.</w:t>
            </w:r>
          </w:p>
        </w:tc>
        <w:tc>
          <w:tcPr>
            <w:tcW w:w="425" w:type="dxa"/>
            <w:gridSpan w:val="2"/>
            <w:tcBorders>
              <w:top w:val="single" w:sz="4" w:space="0" w:color="auto"/>
              <w:left w:val="single" w:sz="4" w:space="0" w:color="auto"/>
              <w:bottom w:val="single" w:sz="4" w:space="0" w:color="auto"/>
              <w:right w:val="single" w:sz="4" w:space="0" w:color="auto"/>
            </w:tcBorders>
          </w:tcPr>
          <w:p w14:paraId="0B9845FA" w14:textId="77777777" w:rsidR="00E73333" w:rsidRDefault="00E73333">
            <w:pPr>
              <w:pStyle w:val="Kopfzeile"/>
            </w:pPr>
          </w:p>
        </w:tc>
      </w:tr>
      <w:tr w:rsidR="00E73333" w14:paraId="72BEAE00" w14:textId="77777777" w:rsidTr="00F67ECB">
        <w:trPr>
          <w:gridBefore w:val="1"/>
          <w:wBefore w:w="6" w:type="dxa"/>
          <w:jc w:val="center"/>
        </w:trPr>
        <w:tc>
          <w:tcPr>
            <w:tcW w:w="8631" w:type="dxa"/>
            <w:gridSpan w:val="2"/>
            <w:tcBorders>
              <w:top w:val="single" w:sz="4" w:space="0" w:color="auto"/>
              <w:left w:val="single" w:sz="4" w:space="0" w:color="auto"/>
              <w:bottom w:val="single" w:sz="4" w:space="0" w:color="auto"/>
              <w:right w:val="single" w:sz="4" w:space="0" w:color="auto"/>
            </w:tcBorders>
            <w:hideMark/>
          </w:tcPr>
          <w:p w14:paraId="6DD6323F" w14:textId="33F12997" w:rsidR="00E73333" w:rsidRDefault="004D57D9">
            <w:pPr>
              <w:ind w:left="284" w:hanging="284"/>
            </w:pPr>
            <w:r>
              <w:t>11</w:t>
            </w:r>
            <w:r w:rsidR="00E73333">
              <w:t>Das Signifikanzniveau von p=5% ist das gebräuchlichste in den Sozialwissenschaften.</w:t>
            </w:r>
          </w:p>
        </w:tc>
        <w:tc>
          <w:tcPr>
            <w:tcW w:w="425" w:type="dxa"/>
            <w:gridSpan w:val="2"/>
            <w:tcBorders>
              <w:top w:val="single" w:sz="4" w:space="0" w:color="auto"/>
              <w:left w:val="single" w:sz="4" w:space="0" w:color="auto"/>
              <w:bottom w:val="single" w:sz="4" w:space="0" w:color="auto"/>
              <w:right w:val="single" w:sz="4" w:space="0" w:color="auto"/>
            </w:tcBorders>
          </w:tcPr>
          <w:p w14:paraId="4D528B81" w14:textId="77777777" w:rsidR="00E73333" w:rsidRDefault="00E73333"/>
        </w:tc>
      </w:tr>
      <w:tr w:rsidR="00E73333" w14:paraId="342E40AB" w14:textId="77777777" w:rsidTr="00F67ECB">
        <w:trPr>
          <w:gridBefore w:val="2"/>
          <w:wBefore w:w="12" w:type="dxa"/>
          <w:jc w:val="center"/>
        </w:trPr>
        <w:tc>
          <w:tcPr>
            <w:tcW w:w="8625" w:type="dxa"/>
            <w:tcBorders>
              <w:top w:val="single" w:sz="4" w:space="0" w:color="auto"/>
              <w:left w:val="single" w:sz="4" w:space="0" w:color="auto"/>
              <w:bottom w:val="single" w:sz="4" w:space="0" w:color="auto"/>
              <w:right w:val="single" w:sz="4" w:space="0" w:color="auto"/>
            </w:tcBorders>
            <w:hideMark/>
          </w:tcPr>
          <w:p w14:paraId="1826238C" w14:textId="23B6F901" w:rsidR="00E73333" w:rsidRDefault="004D57D9" w:rsidP="006B2335">
            <w:pPr>
              <w:ind w:left="284" w:hanging="284"/>
            </w:pPr>
            <w:r>
              <w:t>12</w:t>
            </w:r>
            <w:r w:rsidR="00E73333">
              <w:tab/>
              <w:t>Das zentrale Grenzwerttheorem besagt: Die Verteilung von Mittelwerten aus Stichproben, die derselben Population entnommen wurden, geht mit wachsender Stichprobengrö</w:t>
            </w:r>
            <w:r w:rsidR="006B2335">
              <w:t>ß</w:t>
            </w:r>
            <w:r w:rsidR="00E73333">
              <w:t>e in eine Normalverteilung über.</w:t>
            </w:r>
          </w:p>
        </w:tc>
        <w:tc>
          <w:tcPr>
            <w:tcW w:w="425" w:type="dxa"/>
            <w:gridSpan w:val="2"/>
            <w:tcBorders>
              <w:top w:val="single" w:sz="4" w:space="0" w:color="auto"/>
              <w:left w:val="single" w:sz="4" w:space="0" w:color="auto"/>
              <w:bottom w:val="single" w:sz="4" w:space="0" w:color="auto"/>
              <w:right w:val="single" w:sz="4" w:space="0" w:color="auto"/>
            </w:tcBorders>
          </w:tcPr>
          <w:p w14:paraId="0A2E7AEB" w14:textId="77777777" w:rsidR="00E73333" w:rsidRDefault="00E73333"/>
        </w:tc>
      </w:tr>
      <w:tr w:rsidR="00E73333" w14:paraId="75ACEE2D" w14:textId="77777777" w:rsidTr="00F67ECB">
        <w:trPr>
          <w:gridBefore w:val="2"/>
          <w:wBefore w:w="12" w:type="dxa"/>
          <w:jc w:val="center"/>
        </w:trPr>
        <w:tc>
          <w:tcPr>
            <w:tcW w:w="8625" w:type="dxa"/>
            <w:tcBorders>
              <w:top w:val="single" w:sz="4" w:space="0" w:color="auto"/>
              <w:left w:val="single" w:sz="4" w:space="0" w:color="auto"/>
              <w:bottom w:val="single" w:sz="4" w:space="0" w:color="auto"/>
              <w:right w:val="single" w:sz="4" w:space="0" w:color="auto"/>
            </w:tcBorders>
            <w:hideMark/>
          </w:tcPr>
          <w:p w14:paraId="6D73BBE8" w14:textId="3F4E187E" w:rsidR="00E73333" w:rsidRDefault="004D57D9" w:rsidP="006B2335">
            <w:pPr>
              <w:ind w:left="284" w:hanging="284"/>
            </w:pPr>
            <w:r>
              <w:t>13</w:t>
            </w:r>
            <w:r w:rsidR="00E73333">
              <w:tab/>
              <w:t>Der Standardfehler ist das Ma</w:t>
            </w:r>
            <w:r w:rsidR="006B2335">
              <w:t>ß</w:t>
            </w:r>
            <w:r w:rsidR="00E73333">
              <w:t xml:space="preserve"> für Zufalls- oder Stichprobenfehler, welches auf der Grundlage beruht: je kleiner die Stichprobe desto mehr weicht der Stichprobenmittelwert vom Populationsmittelwert ab. </w:t>
            </w:r>
          </w:p>
        </w:tc>
        <w:tc>
          <w:tcPr>
            <w:tcW w:w="425" w:type="dxa"/>
            <w:gridSpan w:val="2"/>
            <w:tcBorders>
              <w:top w:val="single" w:sz="4" w:space="0" w:color="auto"/>
              <w:left w:val="single" w:sz="4" w:space="0" w:color="auto"/>
              <w:bottom w:val="single" w:sz="4" w:space="0" w:color="auto"/>
              <w:right w:val="single" w:sz="4" w:space="0" w:color="auto"/>
            </w:tcBorders>
          </w:tcPr>
          <w:p w14:paraId="0BFCA0AE" w14:textId="77777777" w:rsidR="00E73333" w:rsidRDefault="00E73333"/>
        </w:tc>
      </w:tr>
      <w:tr w:rsidR="00E73333" w14:paraId="63AC510E" w14:textId="77777777" w:rsidTr="00F67ECB">
        <w:trPr>
          <w:gridBefore w:val="2"/>
          <w:wBefore w:w="12" w:type="dxa"/>
          <w:jc w:val="center"/>
        </w:trPr>
        <w:tc>
          <w:tcPr>
            <w:tcW w:w="8625" w:type="dxa"/>
            <w:tcBorders>
              <w:top w:val="single" w:sz="4" w:space="0" w:color="auto"/>
              <w:left w:val="single" w:sz="4" w:space="0" w:color="auto"/>
              <w:bottom w:val="single" w:sz="4" w:space="0" w:color="auto"/>
              <w:right w:val="single" w:sz="4" w:space="0" w:color="auto"/>
            </w:tcBorders>
            <w:hideMark/>
          </w:tcPr>
          <w:p w14:paraId="063A32AE" w14:textId="6F0EA45C" w:rsidR="00E73333" w:rsidRDefault="004D57D9" w:rsidP="006B2335">
            <w:pPr>
              <w:ind w:left="284" w:hanging="284"/>
            </w:pPr>
            <w:r>
              <w:t>14</w:t>
            </w:r>
            <w:r w:rsidR="00E73333">
              <w:tab/>
              <w:t>Der Standardfehler berechnet sich aus der Wurzel von (Varianz in Population / Stichprobengrö</w:t>
            </w:r>
            <w:r w:rsidR="006B2335">
              <w:t>ß</w:t>
            </w:r>
            <w:r w:rsidR="00E73333">
              <w:t>e)</w:t>
            </w:r>
          </w:p>
        </w:tc>
        <w:tc>
          <w:tcPr>
            <w:tcW w:w="425" w:type="dxa"/>
            <w:gridSpan w:val="2"/>
            <w:tcBorders>
              <w:top w:val="single" w:sz="4" w:space="0" w:color="auto"/>
              <w:left w:val="single" w:sz="4" w:space="0" w:color="auto"/>
              <w:bottom w:val="single" w:sz="4" w:space="0" w:color="auto"/>
              <w:right w:val="single" w:sz="4" w:space="0" w:color="auto"/>
            </w:tcBorders>
          </w:tcPr>
          <w:p w14:paraId="01B6FA48" w14:textId="77777777" w:rsidR="00E73333" w:rsidRDefault="00E73333"/>
        </w:tc>
      </w:tr>
      <w:tr w:rsidR="00E73333" w14:paraId="6363C5E9" w14:textId="77777777" w:rsidTr="00F67ECB">
        <w:trPr>
          <w:gridBefore w:val="2"/>
          <w:wBefore w:w="12" w:type="dxa"/>
          <w:jc w:val="center"/>
        </w:trPr>
        <w:tc>
          <w:tcPr>
            <w:tcW w:w="8625" w:type="dxa"/>
            <w:tcBorders>
              <w:top w:val="single" w:sz="4" w:space="0" w:color="auto"/>
              <w:left w:val="single" w:sz="4" w:space="0" w:color="auto"/>
              <w:bottom w:val="single" w:sz="4" w:space="0" w:color="auto"/>
              <w:right w:val="single" w:sz="4" w:space="0" w:color="auto"/>
            </w:tcBorders>
            <w:hideMark/>
          </w:tcPr>
          <w:p w14:paraId="64AE6911" w14:textId="4A73DE71" w:rsidR="00E73333" w:rsidRDefault="004D57D9">
            <w:pPr>
              <w:ind w:left="284" w:hanging="284"/>
            </w:pPr>
            <w:r>
              <w:t xml:space="preserve">15 </w:t>
            </w:r>
            <w:r w:rsidR="00E73333">
              <w:t>Wird eine Stichprobe mit der Population verglichen (es liegen von der Popu</w:t>
            </w:r>
            <w:r w:rsidR="00E73333">
              <w:softHyphen/>
              <w:t>lation die Parameter vor), dann spricht man vom Ablehnungsbereich für die Nullhypothese.</w:t>
            </w:r>
          </w:p>
        </w:tc>
        <w:tc>
          <w:tcPr>
            <w:tcW w:w="425" w:type="dxa"/>
            <w:gridSpan w:val="2"/>
            <w:tcBorders>
              <w:top w:val="single" w:sz="4" w:space="0" w:color="auto"/>
              <w:left w:val="single" w:sz="4" w:space="0" w:color="auto"/>
              <w:bottom w:val="single" w:sz="4" w:space="0" w:color="auto"/>
              <w:right w:val="single" w:sz="4" w:space="0" w:color="auto"/>
            </w:tcBorders>
          </w:tcPr>
          <w:p w14:paraId="12019FFF" w14:textId="77777777" w:rsidR="00E73333" w:rsidRDefault="00E73333"/>
        </w:tc>
      </w:tr>
      <w:tr w:rsidR="00E73333" w14:paraId="74F0F848" w14:textId="77777777" w:rsidTr="00F67ECB">
        <w:trPr>
          <w:gridBefore w:val="2"/>
          <w:wBefore w:w="12" w:type="dxa"/>
          <w:jc w:val="center"/>
        </w:trPr>
        <w:tc>
          <w:tcPr>
            <w:tcW w:w="8625" w:type="dxa"/>
            <w:tcBorders>
              <w:top w:val="single" w:sz="4" w:space="0" w:color="auto"/>
              <w:left w:val="single" w:sz="4" w:space="0" w:color="auto"/>
              <w:bottom w:val="single" w:sz="4" w:space="0" w:color="auto"/>
              <w:right w:val="single" w:sz="4" w:space="0" w:color="auto"/>
            </w:tcBorders>
            <w:hideMark/>
          </w:tcPr>
          <w:p w14:paraId="05AC7867" w14:textId="5A297376" w:rsidR="00E73333" w:rsidRDefault="004D57D9">
            <w:pPr>
              <w:ind w:left="284" w:hanging="284"/>
            </w:pPr>
            <w:r>
              <w:t>16</w:t>
            </w:r>
            <w:r w:rsidR="00E73333">
              <w:tab/>
              <w:t>Wird vom Mittelwert einer Stichprobe auf den Mittelwert der Population geschlossen, dann spricht man vom Konfidenzintervall, innerhalb dessen der wahre Mittelwert der Population mit einer bestimmten Wahrscheinlichkeit liegt.</w:t>
            </w:r>
          </w:p>
        </w:tc>
        <w:tc>
          <w:tcPr>
            <w:tcW w:w="425" w:type="dxa"/>
            <w:gridSpan w:val="2"/>
            <w:tcBorders>
              <w:top w:val="single" w:sz="4" w:space="0" w:color="auto"/>
              <w:left w:val="single" w:sz="4" w:space="0" w:color="auto"/>
              <w:bottom w:val="single" w:sz="4" w:space="0" w:color="auto"/>
              <w:right w:val="single" w:sz="4" w:space="0" w:color="auto"/>
            </w:tcBorders>
          </w:tcPr>
          <w:p w14:paraId="4493CB74" w14:textId="77777777" w:rsidR="00E73333" w:rsidRDefault="00E73333"/>
        </w:tc>
      </w:tr>
      <w:tr w:rsidR="00E73333" w14:paraId="0D21B2F3" w14:textId="77777777" w:rsidTr="00F67ECB">
        <w:trPr>
          <w:gridBefore w:val="2"/>
          <w:wBefore w:w="12" w:type="dxa"/>
          <w:jc w:val="center"/>
        </w:trPr>
        <w:tc>
          <w:tcPr>
            <w:tcW w:w="8625" w:type="dxa"/>
            <w:tcBorders>
              <w:top w:val="single" w:sz="4" w:space="0" w:color="auto"/>
              <w:left w:val="single" w:sz="4" w:space="0" w:color="auto"/>
              <w:bottom w:val="single" w:sz="4" w:space="0" w:color="auto"/>
              <w:right w:val="single" w:sz="4" w:space="0" w:color="auto"/>
            </w:tcBorders>
            <w:hideMark/>
          </w:tcPr>
          <w:p w14:paraId="5B71C583" w14:textId="2E1E2D39" w:rsidR="00E73333" w:rsidRDefault="004D57D9" w:rsidP="006B2335">
            <w:pPr>
              <w:ind w:left="284" w:hanging="284"/>
            </w:pPr>
            <w:r>
              <w:t>17</w:t>
            </w:r>
            <w:r w:rsidR="00E73333">
              <w:tab/>
              <w:t>Die Breite des Konfidenzintervalls nimmt mit abnehmender Stichprobengrö</w:t>
            </w:r>
            <w:r w:rsidR="006B2335">
              <w:t>ß</w:t>
            </w:r>
            <w:r w:rsidR="00E73333">
              <w:t>e zu.</w:t>
            </w:r>
          </w:p>
        </w:tc>
        <w:tc>
          <w:tcPr>
            <w:tcW w:w="425" w:type="dxa"/>
            <w:gridSpan w:val="2"/>
            <w:tcBorders>
              <w:top w:val="single" w:sz="4" w:space="0" w:color="auto"/>
              <w:left w:val="single" w:sz="4" w:space="0" w:color="auto"/>
              <w:bottom w:val="single" w:sz="4" w:space="0" w:color="auto"/>
              <w:right w:val="single" w:sz="4" w:space="0" w:color="auto"/>
            </w:tcBorders>
          </w:tcPr>
          <w:p w14:paraId="36B30709" w14:textId="77777777" w:rsidR="00E73333" w:rsidRDefault="00E73333"/>
        </w:tc>
      </w:tr>
    </w:tbl>
    <w:p w14:paraId="60DABD1D" w14:textId="77777777" w:rsidR="00C30BAC" w:rsidRDefault="00C30BAC" w:rsidP="006B2335">
      <w:pPr>
        <w:pStyle w:val="berschriftLE"/>
      </w:pPr>
    </w:p>
    <w:p w14:paraId="4295DB26" w14:textId="77777777" w:rsidR="00E73333" w:rsidRPr="006B2335" w:rsidRDefault="00C30BAC" w:rsidP="006B2335">
      <w:pPr>
        <w:pStyle w:val="berschriftLE"/>
      </w:pPr>
      <w:r w:rsidRPr="006B2335">
        <w:t xml:space="preserve">B. </w:t>
      </w:r>
      <w:r w:rsidR="0057193E" w:rsidRPr="006B2335">
        <w:t>Korrekturen zur CD</w:t>
      </w:r>
      <w:r w:rsidR="006B2335">
        <w:t>-ROM</w:t>
      </w:r>
    </w:p>
    <w:p w14:paraId="0A0523F0" w14:textId="77777777" w:rsidR="0057193E" w:rsidRDefault="0057193E" w:rsidP="0057193E">
      <w:pPr>
        <w:pStyle w:val="Default"/>
        <w:rPr>
          <w:i/>
          <w:iCs/>
          <w:sz w:val="20"/>
          <w:szCs w:val="20"/>
        </w:rPr>
      </w:pPr>
    </w:p>
    <w:p w14:paraId="02406D95" w14:textId="77777777" w:rsidR="0057193E" w:rsidRPr="00F67ECB" w:rsidRDefault="0057193E" w:rsidP="0057193E">
      <w:pPr>
        <w:pStyle w:val="Default"/>
        <w:rPr>
          <w:rFonts w:ascii="Century Gothic" w:hAnsi="Century Gothic"/>
          <w:b/>
          <w:sz w:val="20"/>
          <w:szCs w:val="20"/>
        </w:rPr>
      </w:pPr>
      <w:r w:rsidRPr="00F67ECB">
        <w:rPr>
          <w:rFonts w:ascii="Century Gothic" w:hAnsi="Century Gothic"/>
          <w:b/>
          <w:i/>
          <w:iCs/>
          <w:sz w:val="20"/>
          <w:szCs w:val="20"/>
        </w:rPr>
        <w:t xml:space="preserve">Lösungen zu 3: </w:t>
      </w:r>
    </w:p>
    <w:p w14:paraId="7CB893DD" w14:textId="56B9A26C" w:rsidR="0057193E" w:rsidRPr="00F67ECB" w:rsidRDefault="0057193E" w:rsidP="0057193E">
      <w:pPr>
        <w:pStyle w:val="Default"/>
        <w:rPr>
          <w:rFonts w:ascii="Century Gothic" w:hAnsi="Century Gothic"/>
          <w:sz w:val="20"/>
          <w:szCs w:val="20"/>
        </w:rPr>
      </w:pPr>
      <w:r w:rsidRPr="00F67ECB">
        <w:rPr>
          <w:rFonts w:ascii="Century Gothic" w:hAnsi="Century Gothic"/>
          <w:sz w:val="20"/>
          <w:szCs w:val="20"/>
        </w:rPr>
        <w:t xml:space="preserve">3e: </w:t>
      </w:r>
      <w:r w:rsidRPr="00F67ECB">
        <w:rPr>
          <w:rFonts w:ascii="Century Gothic" w:hAnsi="Century Gothic"/>
          <w:i/>
          <w:iCs/>
          <w:sz w:val="20"/>
          <w:szCs w:val="20"/>
        </w:rPr>
        <w:t xml:space="preserve">Fünfstufige Skala mit Smilies </w:t>
      </w:r>
      <w:r w:rsidRPr="00F67ECB">
        <w:rPr>
          <w:rFonts w:ascii="Century Gothic" w:hAnsi="Century Gothic"/>
          <w:sz w:val="20"/>
          <w:szCs w:val="20"/>
        </w:rPr>
        <w:t xml:space="preserve">strenggenommen O </w:t>
      </w:r>
    </w:p>
    <w:p w14:paraId="500D81F8" w14:textId="77777777" w:rsidR="0057193E" w:rsidRPr="00F67ECB" w:rsidRDefault="0057193E" w:rsidP="006B2335">
      <w:pPr>
        <w:pStyle w:val="Default"/>
        <w:rPr>
          <w:rFonts w:ascii="Century Gothic" w:hAnsi="Century Gothic"/>
          <w:sz w:val="20"/>
          <w:szCs w:val="20"/>
        </w:rPr>
      </w:pPr>
      <w:r w:rsidRPr="00F67ECB">
        <w:rPr>
          <w:rFonts w:ascii="Century Gothic" w:hAnsi="Century Gothic"/>
          <w:i/>
          <w:iCs/>
          <w:sz w:val="20"/>
          <w:szCs w:val="20"/>
        </w:rPr>
        <w:t xml:space="preserve">Auswahl der Lieblingstätigkeit </w:t>
      </w:r>
      <w:r w:rsidRPr="00F67ECB">
        <w:rPr>
          <w:rFonts w:ascii="Century Gothic" w:hAnsi="Century Gothic"/>
          <w:sz w:val="20"/>
          <w:szCs w:val="20"/>
        </w:rPr>
        <w:t xml:space="preserve">Falsch : O richtig: N </w:t>
      </w:r>
    </w:p>
    <w:p w14:paraId="313FDB3D" w14:textId="77777777" w:rsidR="0057193E" w:rsidRPr="00F67ECB" w:rsidRDefault="0057193E" w:rsidP="0057193E">
      <w:pPr>
        <w:pStyle w:val="Default"/>
        <w:rPr>
          <w:rFonts w:ascii="Century Gothic" w:hAnsi="Century Gothic"/>
          <w:sz w:val="20"/>
          <w:szCs w:val="20"/>
        </w:rPr>
      </w:pPr>
      <w:r w:rsidRPr="00F67ECB">
        <w:rPr>
          <w:rFonts w:ascii="Century Gothic" w:hAnsi="Century Gothic"/>
          <w:sz w:val="20"/>
          <w:szCs w:val="20"/>
        </w:rPr>
        <w:t xml:space="preserve">3f, 3. </w:t>
      </w:r>
      <w:r w:rsidRPr="00F67ECB">
        <w:rPr>
          <w:rFonts w:ascii="Century Gothic" w:hAnsi="Century Gothic"/>
          <w:i/>
          <w:iCs/>
          <w:sz w:val="20"/>
          <w:szCs w:val="20"/>
        </w:rPr>
        <w:t xml:space="preserve">Stafette </w:t>
      </w:r>
      <w:r w:rsidRPr="00F67ECB">
        <w:rPr>
          <w:rFonts w:ascii="Century Gothic" w:hAnsi="Century Gothic"/>
          <w:sz w:val="20"/>
          <w:szCs w:val="20"/>
        </w:rPr>
        <w:t xml:space="preserve">Falsch: I richtig: O </w:t>
      </w:r>
    </w:p>
    <w:p w14:paraId="79CA8C52" w14:textId="77777777" w:rsidR="0057193E" w:rsidRPr="00F67ECB" w:rsidRDefault="0057193E" w:rsidP="0057193E">
      <w:pPr>
        <w:pStyle w:val="Default"/>
        <w:rPr>
          <w:rFonts w:ascii="Century Gothic" w:hAnsi="Century Gothic"/>
          <w:sz w:val="20"/>
          <w:szCs w:val="20"/>
        </w:rPr>
      </w:pPr>
      <w:r w:rsidRPr="00F67ECB">
        <w:rPr>
          <w:rFonts w:ascii="Century Gothic" w:hAnsi="Century Gothic"/>
          <w:sz w:val="20"/>
          <w:szCs w:val="20"/>
        </w:rPr>
        <w:t xml:space="preserve">3f, 4. </w:t>
      </w:r>
      <w:r w:rsidRPr="00F67ECB">
        <w:rPr>
          <w:rFonts w:ascii="Century Gothic" w:hAnsi="Century Gothic"/>
          <w:i/>
          <w:iCs/>
          <w:sz w:val="20"/>
          <w:szCs w:val="20"/>
        </w:rPr>
        <w:t xml:space="preserve">Anzahl </w:t>
      </w:r>
      <w:r w:rsidRPr="00F67ECB">
        <w:rPr>
          <w:rFonts w:ascii="Century Gothic" w:hAnsi="Century Gothic"/>
          <w:sz w:val="20"/>
          <w:szCs w:val="20"/>
        </w:rPr>
        <w:t xml:space="preserve">Falsch: O richtig: I oder R </w:t>
      </w:r>
    </w:p>
    <w:p w14:paraId="6A762BD5" w14:textId="77777777" w:rsidR="00E73333" w:rsidRPr="006B2335" w:rsidRDefault="0057193E" w:rsidP="0057193E">
      <w:pPr>
        <w:rPr>
          <w:szCs w:val="20"/>
        </w:rPr>
      </w:pPr>
      <w:r w:rsidRPr="006B2335">
        <w:rPr>
          <w:szCs w:val="20"/>
        </w:rPr>
        <w:t xml:space="preserve">3f, 5. </w:t>
      </w:r>
      <w:r w:rsidRPr="00F67ECB">
        <w:rPr>
          <w:szCs w:val="20"/>
        </w:rPr>
        <w:t>Die Aussage kann nur gemacht werden, wenn Temperatur mit einer Absolutskala (Kelvin-Skala) gemessen wird. Für die üblichen Celsius- und Fahrenheit-Skalen ist die Aussage unsinnig</w:t>
      </w:r>
      <w:r w:rsidR="006B2335">
        <w:rPr>
          <w:szCs w:val="20"/>
        </w:rPr>
        <w:t>.</w:t>
      </w:r>
    </w:p>
    <w:sectPr w:rsidR="00E73333" w:rsidRPr="006B233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8E890" w14:textId="77777777" w:rsidR="003A69EF" w:rsidRDefault="003A69EF" w:rsidP="00E73333">
      <w:pPr>
        <w:spacing w:after="0"/>
      </w:pPr>
      <w:r>
        <w:separator/>
      </w:r>
    </w:p>
  </w:endnote>
  <w:endnote w:type="continuationSeparator" w:id="0">
    <w:p w14:paraId="1FE02C80" w14:textId="77777777" w:rsidR="003A69EF" w:rsidRDefault="003A69EF" w:rsidP="00E733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Segoe UI"/>
    <w:panose1 w:val="020B0502020202020204"/>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072C1" w14:textId="77777777" w:rsidR="003A69EF" w:rsidRDefault="003A69EF" w:rsidP="00E73333">
      <w:pPr>
        <w:spacing w:after="0"/>
      </w:pPr>
      <w:r>
        <w:separator/>
      </w:r>
    </w:p>
  </w:footnote>
  <w:footnote w:type="continuationSeparator" w:id="0">
    <w:p w14:paraId="052D62B2" w14:textId="77777777" w:rsidR="003A69EF" w:rsidRDefault="003A69EF" w:rsidP="00E733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52925" w14:textId="77777777" w:rsidR="006B2335" w:rsidRPr="00E73333" w:rsidRDefault="006B2335" w:rsidP="00E73333">
    <w:pPr>
      <w:pStyle w:val="Kopfzeile"/>
      <w:tabs>
        <w:tab w:val="clear" w:pos="4536"/>
        <w:tab w:val="clear" w:pos="9072"/>
        <w:tab w:val="left" w:pos="2865"/>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0199"/>
    <w:multiLevelType w:val="hybridMultilevel"/>
    <w:tmpl w:val="809410FA"/>
    <w:lvl w:ilvl="0" w:tplc="D71832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33"/>
    <w:rsid w:val="003A69EF"/>
    <w:rsid w:val="00476579"/>
    <w:rsid w:val="004D13BA"/>
    <w:rsid w:val="004D57D9"/>
    <w:rsid w:val="0057193E"/>
    <w:rsid w:val="005A4F5F"/>
    <w:rsid w:val="0063574C"/>
    <w:rsid w:val="006B2335"/>
    <w:rsid w:val="006E5A4E"/>
    <w:rsid w:val="00725854"/>
    <w:rsid w:val="00836246"/>
    <w:rsid w:val="00C30BAC"/>
    <w:rsid w:val="00E73333"/>
    <w:rsid w:val="00F67ECB"/>
    <w:rsid w:val="00FE058F"/>
    <w:rsid w:val="00FE2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AFED"/>
  <w15:chartTrackingRefBased/>
  <w15:docId w15:val="{C328D420-FC15-461C-9E14-6629A045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333"/>
    <w:pPr>
      <w:spacing w:after="120" w:line="240" w:lineRule="auto"/>
    </w:pPr>
    <w:rPr>
      <w:rFonts w:ascii="Century Gothic" w:eastAsia="Times New Roman" w:hAnsi="Century Gothic" w:cs="Times New Roman"/>
      <w:sz w:val="20"/>
      <w:lang w:val="de-CH" w:eastAsia="de-CH"/>
    </w:rPr>
  </w:style>
  <w:style w:type="paragraph" w:styleId="berschrift1">
    <w:name w:val="heading 1"/>
    <w:basedOn w:val="Standard"/>
    <w:next w:val="Standard"/>
    <w:link w:val="berschrift1Zchn"/>
    <w:autoRedefine/>
    <w:qFormat/>
    <w:rsid w:val="00E73333"/>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73333"/>
    <w:pPr>
      <w:tabs>
        <w:tab w:val="center" w:pos="4536"/>
        <w:tab w:val="right" w:pos="9072"/>
      </w:tabs>
      <w:spacing w:after="0"/>
    </w:pPr>
    <w:rPr>
      <w:rFonts w:asciiTheme="minorHAnsi" w:eastAsiaTheme="minorHAnsi" w:hAnsiTheme="minorHAnsi" w:cstheme="minorBidi"/>
      <w:sz w:val="22"/>
      <w:lang w:val="de-DE" w:eastAsia="en-US"/>
    </w:rPr>
  </w:style>
  <w:style w:type="character" w:customStyle="1" w:styleId="KopfzeileZchn">
    <w:name w:val="Kopfzeile Zchn"/>
    <w:basedOn w:val="Absatz-Standardschriftart"/>
    <w:link w:val="Kopfzeile"/>
    <w:rsid w:val="00E73333"/>
  </w:style>
  <w:style w:type="paragraph" w:styleId="Fuzeile">
    <w:name w:val="footer"/>
    <w:basedOn w:val="Standard"/>
    <w:link w:val="FuzeileZchn"/>
    <w:uiPriority w:val="99"/>
    <w:unhideWhenUsed/>
    <w:rsid w:val="00E73333"/>
    <w:pPr>
      <w:tabs>
        <w:tab w:val="center" w:pos="4536"/>
        <w:tab w:val="right" w:pos="9072"/>
      </w:tabs>
      <w:spacing w:after="0"/>
    </w:pPr>
    <w:rPr>
      <w:rFonts w:asciiTheme="minorHAnsi" w:eastAsiaTheme="minorHAnsi" w:hAnsiTheme="minorHAnsi" w:cstheme="minorBidi"/>
      <w:sz w:val="22"/>
      <w:lang w:val="de-DE" w:eastAsia="en-US"/>
    </w:rPr>
  </w:style>
  <w:style w:type="character" w:customStyle="1" w:styleId="FuzeileZchn">
    <w:name w:val="Fußzeile Zchn"/>
    <w:basedOn w:val="Absatz-Standardschriftart"/>
    <w:link w:val="Fuzeile"/>
    <w:uiPriority w:val="99"/>
    <w:rsid w:val="00E73333"/>
  </w:style>
  <w:style w:type="character" w:customStyle="1" w:styleId="berschrift1Zchn">
    <w:name w:val="Überschrift 1 Zchn"/>
    <w:basedOn w:val="Absatz-Standardschriftart"/>
    <w:link w:val="berschrift1"/>
    <w:rsid w:val="00E73333"/>
    <w:rPr>
      <w:rFonts w:ascii="Arial" w:eastAsia="Times New Roman" w:hAnsi="Arial" w:cs="Arial"/>
      <w:b/>
      <w:bCs/>
      <w:kern w:val="32"/>
      <w:sz w:val="32"/>
      <w:szCs w:val="32"/>
      <w:lang w:val="de-CH" w:eastAsia="de-CH"/>
    </w:rPr>
  </w:style>
  <w:style w:type="paragraph" w:styleId="Textkrper-Zeileneinzug">
    <w:name w:val="Body Text Indent"/>
    <w:basedOn w:val="Standard"/>
    <w:link w:val="Textkrper-ZeileneinzugZchn"/>
    <w:semiHidden/>
    <w:unhideWhenUsed/>
    <w:rsid w:val="00E73333"/>
    <w:pPr>
      <w:spacing w:after="0"/>
      <w:ind w:left="567" w:hanging="567"/>
      <w:jc w:val="both"/>
    </w:pPr>
    <w:rPr>
      <w:rFonts w:eastAsia="Times"/>
      <w:sz w:val="24"/>
      <w:szCs w:val="20"/>
    </w:rPr>
  </w:style>
  <w:style w:type="character" w:customStyle="1" w:styleId="Textkrper-ZeileneinzugZchn">
    <w:name w:val="Textkörper-Zeileneinzug Zchn"/>
    <w:basedOn w:val="Absatz-Standardschriftart"/>
    <w:link w:val="Textkrper-Zeileneinzug"/>
    <w:semiHidden/>
    <w:rsid w:val="00E73333"/>
    <w:rPr>
      <w:rFonts w:ascii="Century Gothic" w:eastAsia="Times" w:hAnsi="Century Gothic" w:cs="Times New Roman"/>
      <w:sz w:val="24"/>
      <w:szCs w:val="20"/>
      <w:lang w:val="de-CH" w:eastAsia="de-CH"/>
    </w:rPr>
  </w:style>
  <w:style w:type="paragraph" w:customStyle="1" w:styleId="berschriftLE">
    <w:name w:val="Überschrift LE"/>
    <w:basedOn w:val="Standard"/>
    <w:next w:val="Standard"/>
    <w:autoRedefine/>
    <w:rsid w:val="006B2335"/>
    <w:pPr>
      <w:outlineLvl w:val="2"/>
    </w:pPr>
    <w:rPr>
      <w:b/>
      <w:sz w:val="24"/>
      <w:szCs w:val="24"/>
    </w:rPr>
  </w:style>
  <w:style w:type="paragraph" w:customStyle="1" w:styleId="Default">
    <w:name w:val="Default"/>
    <w:rsid w:val="0057193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C30BAC"/>
    <w:pPr>
      <w:ind w:left="720"/>
      <w:contextualSpacing/>
    </w:pPr>
  </w:style>
  <w:style w:type="paragraph" w:styleId="Sprechblasentext">
    <w:name w:val="Balloon Text"/>
    <w:basedOn w:val="Standard"/>
    <w:link w:val="SprechblasentextZchn"/>
    <w:uiPriority w:val="99"/>
    <w:semiHidden/>
    <w:unhideWhenUsed/>
    <w:rsid w:val="006B233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2335"/>
    <w:rPr>
      <w:rFonts w:ascii="Segoe UI" w:eastAsia="Times New Roman" w:hAnsi="Segoe UI" w:cs="Segoe UI"/>
      <w:sz w:val="18"/>
      <w:szCs w:val="18"/>
      <w:lang w:val="de-CH" w:eastAsia="de-CH"/>
    </w:rPr>
  </w:style>
  <w:style w:type="character" w:styleId="Kommentarzeichen">
    <w:name w:val="annotation reference"/>
    <w:basedOn w:val="Absatz-Standardschriftart"/>
    <w:uiPriority w:val="99"/>
    <w:semiHidden/>
    <w:unhideWhenUsed/>
    <w:rsid w:val="006B2335"/>
    <w:rPr>
      <w:sz w:val="16"/>
      <w:szCs w:val="16"/>
    </w:rPr>
  </w:style>
  <w:style w:type="paragraph" w:styleId="Kommentartext">
    <w:name w:val="annotation text"/>
    <w:basedOn w:val="Standard"/>
    <w:link w:val="KommentartextZchn"/>
    <w:uiPriority w:val="99"/>
    <w:semiHidden/>
    <w:unhideWhenUsed/>
    <w:rsid w:val="006B2335"/>
    <w:rPr>
      <w:szCs w:val="20"/>
    </w:rPr>
  </w:style>
  <w:style w:type="character" w:customStyle="1" w:styleId="KommentartextZchn">
    <w:name w:val="Kommentartext Zchn"/>
    <w:basedOn w:val="Absatz-Standardschriftart"/>
    <w:link w:val="Kommentartext"/>
    <w:uiPriority w:val="99"/>
    <w:semiHidden/>
    <w:rsid w:val="006B2335"/>
    <w:rPr>
      <w:rFonts w:ascii="Century Gothic" w:eastAsia="Times New Roman" w:hAnsi="Century Gothic" w:cs="Times New Roman"/>
      <w:sz w:val="20"/>
      <w:szCs w:val="20"/>
      <w:lang w:val="de-CH" w:eastAsia="de-CH"/>
    </w:rPr>
  </w:style>
  <w:style w:type="paragraph" w:styleId="Kommentarthema">
    <w:name w:val="annotation subject"/>
    <w:basedOn w:val="Kommentartext"/>
    <w:next w:val="Kommentartext"/>
    <w:link w:val="KommentarthemaZchn"/>
    <w:uiPriority w:val="99"/>
    <w:semiHidden/>
    <w:unhideWhenUsed/>
    <w:rsid w:val="006B2335"/>
    <w:rPr>
      <w:b/>
      <w:bCs/>
    </w:rPr>
  </w:style>
  <w:style w:type="character" w:customStyle="1" w:styleId="KommentarthemaZchn">
    <w:name w:val="Kommentarthema Zchn"/>
    <w:basedOn w:val="KommentartextZchn"/>
    <w:link w:val="Kommentarthema"/>
    <w:uiPriority w:val="99"/>
    <w:semiHidden/>
    <w:rsid w:val="006B2335"/>
    <w:rPr>
      <w:rFonts w:ascii="Century Gothic" w:eastAsia="Times New Roman" w:hAnsi="Century Gothic" w:cs="Times New Roman"/>
      <w:b/>
      <w:bCs/>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6DA5-7B86-4702-9E53-71C7C89E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5413FE31.dotm</Template>
  <TotalTime>0</TotalTime>
  <Pages>2</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wihumpert</dc:creator>
  <cp:keywords/>
  <dc:description/>
  <cp:lastModifiedBy>Kerstin Houba [Friedrich Verlag GmbH]</cp:lastModifiedBy>
  <cp:revision>2</cp:revision>
  <cp:lastPrinted>2015-08-27T14:06:00Z</cp:lastPrinted>
  <dcterms:created xsi:type="dcterms:W3CDTF">2015-08-28T09:09:00Z</dcterms:created>
  <dcterms:modified xsi:type="dcterms:W3CDTF">2015-08-28T09:09:00Z</dcterms:modified>
</cp:coreProperties>
</file>